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Prayer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When your heart is heavy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With the burdens you bear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You can lighten your load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By offering a prayer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When tears fill your eyes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And your mind knows no peace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Share your sorrows with God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He will bring you relief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If not all at once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Then soon it will come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Keep saying your prayers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God hears every one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Our God understands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The sorrow you’ve known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The pain that you’ve suffered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Just think of his Son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Who was beaten and nailed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To an old rugged cross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Bleeding and dying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While his own mother watched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But our life isn’t over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Not the end of the story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New life will break forth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And we’ll rise to our glory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There’s power in your prayer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We’ve hurt but we’ll heal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For his promise is certain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God loves you for real.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