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If once a person indulges in insurrection;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Very soon they think little of lynching our duly elected representatives;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And from lynching our duly elected representatives they inevitably will join in a Tiki torch parade some late summer’s evening,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And from that they will easily transition to submitting opinion pieces to the local newspapers about why some books should be banned in public libraries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And  from that they will start asking city council’s why the public should spend public money to accommodate anyone who identifies as Transgender;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And from that they will transition to daily grumbling with a fellow malcontent over coffee about the latest conspiracy contrivance;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and from that to incivility and procrastination.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Once begun upon this downward path of insurrection, you never know where you are to stop.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Many an insurrectionist can date their ruin from inciting some government overthrow or other that perhaps they thought little of at the time.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